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1457C0" w14:textId="1B5B1D28" w:rsidR="004853B5" w:rsidRDefault="0034743A" w:rsidP="004853B5">
      <w:pPr>
        <w:autoSpaceDE w:val="0"/>
        <w:autoSpaceDN w:val="0"/>
        <w:adjustRightInd w:val="0"/>
      </w:pPr>
      <w:bookmarkStart w:id="0" w:name="_GoBack"/>
      <w:bookmarkEnd w:id="0"/>
      <w:r>
        <w:t>Expediente 944-2018</w:t>
      </w:r>
      <w:r>
        <w:br/>
      </w:r>
      <w:r>
        <w:br/>
      </w:r>
      <w:r w:rsidR="004853B5">
        <w:t>Notas para la reunion del martes 11/6 8:am</w:t>
      </w:r>
    </w:p>
    <w:p w14:paraId="4C68309F" w14:textId="7206D1A6" w:rsidR="0034743A" w:rsidRDefault="004853B5" w:rsidP="004853B5">
      <w:pPr>
        <w:autoSpaceDE w:val="0"/>
        <w:autoSpaceDN w:val="0"/>
        <w:adjustRightInd w:val="0"/>
      </w:pPr>
      <w:r>
        <w:t xml:space="preserve">El Ing. Lozano la espera en pachacamac área de desarrollo urbano (Esta es la respuesta del árq.Juan Alberto Amesquits de la Municipalidad de Pachacamac). </w:t>
      </w:r>
    </w:p>
    <w:p w14:paraId="541E3248" w14:textId="77777777" w:rsidR="0034743A" w:rsidRDefault="0034743A" w:rsidP="0034743A">
      <w:pPr>
        <w:autoSpaceDE w:val="0"/>
        <w:autoSpaceDN w:val="0"/>
        <w:adjustRightInd w:val="0"/>
      </w:pPr>
      <w:r>
        <w:br/>
      </w:r>
      <w:r>
        <w:rPr>
          <w:b/>
          <w:i/>
          <w:u w:val="single"/>
        </w:rPr>
        <w:t xml:space="preserve">- Sobre nuestro pedido de tener planos </w:t>
      </w:r>
      <w:r w:rsidR="00192242">
        <w:rPr>
          <w:b/>
          <w:i/>
          <w:u w:val="single"/>
        </w:rPr>
        <w:t>para</w:t>
      </w:r>
      <w:r>
        <w:rPr>
          <w:b/>
          <w:i/>
          <w:u w:val="single"/>
        </w:rPr>
        <w:t xml:space="preserve"> servicios básicos</w:t>
      </w:r>
      <w:r>
        <w:t xml:space="preserve">  </w:t>
      </w:r>
    </w:p>
    <w:p w14:paraId="257BCAED" w14:textId="77777777" w:rsidR="0034743A" w:rsidRDefault="0034743A" w:rsidP="0034743A">
      <w:pPr>
        <w:autoSpaceDE w:val="0"/>
        <w:autoSpaceDN w:val="0"/>
        <w:adjustRightInd w:val="0"/>
      </w:pPr>
      <w:r>
        <w:br/>
        <w:t xml:space="preserve">Ustedes mencionaron </w:t>
      </w:r>
      <w:r>
        <w:rPr>
          <w:rFonts w:ascii="Arial" w:hAnsi="Arial" w:cs="Arial"/>
          <w:sz w:val="20"/>
          <w:szCs w:val="20"/>
        </w:rPr>
        <w:br/>
        <w:t xml:space="preserve">“LEY 28687, </w:t>
      </w:r>
      <w:r>
        <w:t>LEY DE DESARROLLO Y COMPLEMENTARIA</w:t>
      </w:r>
      <w:r w:rsidR="00192242">
        <w:t xml:space="preserve"> </w:t>
      </w:r>
      <w:r>
        <w:t>DE FORMALIZACIÓN DE LA PROPIEDAD INFORMAL, ACCESO AL SUELO Y DOTACIÓN DE SERVICIOS BÁSICOS”</w:t>
      </w:r>
    </w:p>
    <w:p w14:paraId="1924A69D" w14:textId="77777777" w:rsidR="0034743A" w:rsidRDefault="0034743A" w:rsidP="0034743A">
      <w:pPr>
        <w:autoSpaceDE w:val="0"/>
        <w:autoSpaceDN w:val="0"/>
        <w:adjustRightInd w:val="0"/>
      </w:pPr>
      <w:r>
        <w:rPr>
          <w:rFonts w:ascii="Arial" w:hAnsi="Arial" w:cs="Arial"/>
          <w:sz w:val="20"/>
          <w:szCs w:val="20"/>
        </w:rPr>
        <w:br/>
        <w:t xml:space="preserve">* No pretendemos de ninguna manera referirnos a la ley 28687 ni a la </w:t>
      </w:r>
      <w:r>
        <w:t>LEY Nº 29320.</w:t>
      </w:r>
      <w:r>
        <w:br/>
      </w:r>
    </w:p>
    <w:p w14:paraId="21E74C84" w14:textId="77777777" w:rsidR="004853B5" w:rsidRDefault="0034743A" w:rsidP="0034743A">
      <w:pPr>
        <w:autoSpaceDE w:val="0"/>
        <w:autoSpaceDN w:val="0"/>
        <w:adjustRightInd w:val="0"/>
        <w:rPr>
          <w:rFonts w:ascii="Arial" w:hAnsi="Arial" w:cs="Arial"/>
          <w:sz w:val="20"/>
          <w:szCs w:val="20"/>
        </w:rPr>
      </w:pPr>
      <w:r>
        <w:t xml:space="preserve">* Esperemos, como vecinos, que ninguna parte de San Carlos (que sea en Cucuya, en Santa Anita, en San </w:t>
      </w:r>
      <w:r w:rsidR="00192242">
        <w:t>Carlos Bajo, en Las Buganvilia o</w:t>
      </w:r>
      <w:r>
        <w:t xml:space="preserve"> en otros) </w:t>
      </w:r>
      <w:r w:rsidR="00192242">
        <w:t>haya estado o esté</w:t>
      </w:r>
      <w:r>
        <w:t xml:space="preserve"> consider</w:t>
      </w:r>
      <w:r w:rsidR="00192242">
        <w:t>ada</w:t>
      </w:r>
      <w:r>
        <w:t xml:space="preserve"> </w:t>
      </w:r>
      <w:r w:rsidR="00192242">
        <w:t>bajo estas leyes, ya que el Artí</w:t>
      </w:r>
      <w:r>
        <w:t>culo 3 de la ley 28687 “Ámbito de aplicación” es muy específico :</w:t>
      </w:r>
      <w:r>
        <w:br/>
        <w:t>“constituido sobre inmuebles de propiedad estatal”.</w:t>
      </w:r>
      <w:r>
        <w:br/>
        <w:t>Es de notoriedad pública y de publicidad extendida que todo San Carl</w:t>
      </w:r>
      <w:r w:rsidR="00192242">
        <w:t>os (Manzanas A hasta Z) era y aú</w:t>
      </w:r>
      <w:r>
        <w:t>n es parcialmente propieda</w:t>
      </w:r>
      <w:r w:rsidR="00192242">
        <w:t xml:space="preserve">d de la familia Leigh-Reusche, o </w:t>
      </w:r>
      <w:r>
        <w:t>sea</w:t>
      </w:r>
      <w:r w:rsidR="00192242">
        <w:t>, una propiedad privada, legí</w:t>
      </w:r>
      <w:r>
        <w:t xml:space="preserve">tima, registrada, que </w:t>
      </w:r>
      <w:r w:rsidR="00192242">
        <w:t>cuenta</w:t>
      </w:r>
      <w:r>
        <w:t xml:space="preserve"> con títulos de propiedad.</w:t>
      </w:r>
      <w:r>
        <w:br/>
      </w:r>
      <w:r>
        <w:rPr>
          <w:rFonts w:ascii="Arial" w:hAnsi="Arial" w:cs="Arial"/>
          <w:sz w:val="20"/>
          <w:szCs w:val="20"/>
        </w:rPr>
        <w:t>(http://www.leyes.congreso.gob.pe/Documentos/Leyes/28687.pdf)</w:t>
      </w:r>
      <w:r>
        <w:rPr>
          <w:rFonts w:ascii="Arial" w:hAnsi="Arial" w:cs="Arial"/>
          <w:sz w:val="20"/>
          <w:szCs w:val="20"/>
        </w:rPr>
        <w:br/>
        <w:t>(ver Anexo 1)</w:t>
      </w:r>
      <w:r w:rsidR="004853B5">
        <w:rPr>
          <w:rFonts w:ascii="Arial" w:hAnsi="Arial" w:cs="Arial"/>
          <w:sz w:val="20"/>
          <w:szCs w:val="20"/>
        </w:rPr>
        <w:br/>
      </w:r>
      <w:r w:rsidR="004853B5">
        <w:rPr>
          <w:rFonts w:ascii="Arial" w:hAnsi="Arial" w:cs="Arial"/>
          <w:sz w:val="20"/>
          <w:szCs w:val="20"/>
        </w:rPr>
        <w:br/>
      </w:r>
      <w:r w:rsidR="004853B5">
        <w:rPr>
          <w:noProof/>
          <w:lang w:eastAsia="es-GT"/>
        </w:rPr>
        <w:drawing>
          <wp:inline distT="0" distB="0" distL="0" distR="0" wp14:anchorId="7996D52D" wp14:editId="192E57B4">
            <wp:extent cx="3771900" cy="1287966"/>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6335" t="19201" r="34660" b="53461"/>
                    <a:stretch/>
                  </pic:blipFill>
                  <pic:spPr bwMode="auto">
                    <a:xfrm>
                      <a:off x="0" y="0"/>
                      <a:ext cx="3790496" cy="1294316"/>
                    </a:xfrm>
                    <a:prstGeom prst="rect">
                      <a:avLst/>
                    </a:prstGeom>
                    <a:ln>
                      <a:noFill/>
                    </a:ln>
                    <a:extLst>
                      <a:ext uri="{53640926-AAD7-44D8-BBD7-CCE9431645EC}">
                        <a14:shadowObscured xmlns:a14="http://schemas.microsoft.com/office/drawing/2010/main"/>
                      </a:ext>
                    </a:extLst>
                  </pic:spPr>
                </pic:pic>
              </a:graphicData>
            </a:graphic>
          </wp:inline>
        </w:drawing>
      </w:r>
    </w:p>
    <w:p w14:paraId="4FCA8DAC" w14:textId="77777777" w:rsidR="004853B5" w:rsidRDefault="004853B5" w:rsidP="0034743A">
      <w:pPr>
        <w:autoSpaceDE w:val="0"/>
        <w:autoSpaceDN w:val="0"/>
        <w:adjustRightInd w:val="0"/>
        <w:rPr>
          <w:rFonts w:ascii="Arial" w:hAnsi="Arial" w:cs="Arial"/>
          <w:sz w:val="20"/>
          <w:szCs w:val="20"/>
        </w:rPr>
      </w:pPr>
      <w:r>
        <w:rPr>
          <w:noProof/>
          <w:lang w:eastAsia="es-GT"/>
        </w:rPr>
        <w:drawing>
          <wp:inline distT="0" distB="0" distL="0" distR="0" wp14:anchorId="0C5DA284" wp14:editId="53C5368C">
            <wp:extent cx="3619500" cy="11628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2049" t="36224" r="45690" b="39626"/>
                    <a:stretch/>
                  </pic:blipFill>
                  <pic:spPr bwMode="auto">
                    <a:xfrm>
                      <a:off x="0" y="0"/>
                      <a:ext cx="3641779" cy="1170050"/>
                    </a:xfrm>
                    <a:prstGeom prst="rect">
                      <a:avLst/>
                    </a:prstGeom>
                    <a:ln>
                      <a:noFill/>
                    </a:ln>
                    <a:extLst>
                      <a:ext uri="{53640926-AAD7-44D8-BBD7-CCE9431645EC}">
                        <a14:shadowObscured xmlns:a14="http://schemas.microsoft.com/office/drawing/2010/main"/>
                      </a:ext>
                    </a:extLst>
                  </pic:spPr>
                </pic:pic>
              </a:graphicData>
            </a:graphic>
          </wp:inline>
        </w:drawing>
      </w:r>
    </w:p>
    <w:p w14:paraId="3FE74856" w14:textId="36687C49" w:rsidR="004853B5" w:rsidRDefault="0034743A" w:rsidP="0034743A">
      <w:pPr>
        <w:autoSpaceDE w:val="0"/>
        <w:autoSpaceDN w:val="0"/>
        <w:adjustRightInd w:val="0"/>
        <w:rPr>
          <w:rFonts w:ascii="Arial" w:hAnsi="Arial" w:cs="Arial"/>
          <w:sz w:val="20"/>
          <w:szCs w:val="20"/>
        </w:rPr>
      </w:pPr>
      <w:r>
        <w:rPr>
          <w:rFonts w:ascii="Arial" w:hAnsi="Arial" w:cs="Arial"/>
          <w:sz w:val="20"/>
          <w:szCs w:val="20"/>
        </w:rPr>
        <w:br/>
      </w:r>
      <w:r>
        <w:rPr>
          <w:rFonts w:ascii="Arial" w:hAnsi="Arial" w:cs="Arial"/>
          <w:sz w:val="20"/>
          <w:szCs w:val="20"/>
        </w:rPr>
        <w:br/>
        <w:t xml:space="preserve">* </w:t>
      </w:r>
      <w:r w:rsidR="00597305">
        <w:rPr>
          <w:rFonts w:ascii="Arial" w:hAnsi="Arial" w:cs="Arial"/>
          <w:sz w:val="20"/>
          <w:szCs w:val="20"/>
        </w:rPr>
        <w:t>Cuando</w:t>
      </w:r>
      <w:r>
        <w:rPr>
          <w:rFonts w:ascii="Arial" w:hAnsi="Arial" w:cs="Arial"/>
          <w:sz w:val="20"/>
          <w:szCs w:val="20"/>
        </w:rPr>
        <w:t xml:space="preserve"> </w:t>
      </w:r>
      <w:r w:rsidR="00597305">
        <w:rPr>
          <w:rFonts w:ascii="Arial" w:hAnsi="Arial" w:cs="Arial"/>
          <w:sz w:val="20"/>
          <w:szCs w:val="20"/>
        </w:rPr>
        <w:t xml:space="preserve">iniciamos </w:t>
      </w:r>
      <w:r>
        <w:rPr>
          <w:rFonts w:ascii="Arial" w:hAnsi="Arial" w:cs="Arial"/>
          <w:sz w:val="20"/>
          <w:szCs w:val="20"/>
        </w:rPr>
        <w:t>nuestra</w:t>
      </w:r>
      <w:r w:rsidR="00192242">
        <w:rPr>
          <w:rFonts w:ascii="Arial" w:hAnsi="Arial" w:cs="Arial"/>
          <w:sz w:val="20"/>
          <w:szCs w:val="20"/>
        </w:rPr>
        <w:t>s</w:t>
      </w:r>
      <w:r>
        <w:rPr>
          <w:rFonts w:ascii="Arial" w:hAnsi="Arial" w:cs="Arial"/>
          <w:sz w:val="20"/>
          <w:szCs w:val="20"/>
        </w:rPr>
        <w:t xml:space="preserve"> </w:t>
      </w:r>
      <w:r w:rsidR="00192242">
        <w:rPr>
          <w:rFonts w:ascii="Arial" w:hAnsi="Arial" w:cs="Arial"/>
          <w:sz w:val="20"/>
          <w:szCs w:val="20"/>
        </w:rPr>
        <w:t>gestiones</w:t>
      </w:r>
      <w:r>
        <w:rPr>
          <w:rFonts w:ascii="Arial" w:hAnsi="Arial" w:cs="Arial"/>
          <w:sz w:val="20"/>
          <w:szCs w:val="20"/>
        </w:rPr>
        <w:t xml:space="preserve"> relacionada</w:t>
      </w:r>
      <w:r w:rsidR="00192242">
        <w:rPr>
          <w:rFonts w:ascii="Arial" w:hAnsi="Arial" w:cs="Arial"/>
          <w:sz w:val="20"/>
          <w:szCs w:val="20"/>
        </w:rPr>
        <w:t>s</w:t>
      </w:r>
      <w:r>
        <w:rPr>
          <w:rFonts w:ascii="Arial" w:hAnsi="Arial" w:cs="Arial"/>
          <w:sz w:val="20"/>
          <w:szCs w:val="20"/>
        </w:rPr>
        <w:t xml:space="preserve"> con los planos, al ser informados que el propio Municipio no contaba con planos de nuestra zona</w:t>
      </w:r>
      <w:r w:rsidR="00192242">
        <w:rPr>
          <w:rFonts w:ascii="Arial" w:hAnsi="Arial" w:cs="Arial"/>
          <w:sz w:val="20"/>
          <w:szCs w:val="20"/>
        </w:rPr>
        <w:t xml:space="preserve"> y al sugerir el propio </w:t>
      </w:r>
      <w:r>
        <w:rPr>
          <w:rFonts w:ascii="Arial" w:hAnsi="Arial" w:cs="Arial"/>
          <w:sz w:val="20"/>
          <w:szCs w:val="20"/>
        </w:rPr>
        <w:t xml:space="preserve">Municipio que deberíamos nosotros encargarnos de la creación y de la formalización de nuestros planos, </w:t>
      </w:r>
      <w:r w:rsidR="00597305">
        <w:rPr>
          <w:rFonts w:ascii="Arial" w:hAnsi="Arial" w:cs="Arial"/>
          <w:sz w:val="20"/>
          <w:szCs w:val="20"/>
        </w:rPr>
        <w:t>eso fue lo que hicimos. T</w:t>
      </w:r>
      <w:r w:rsidR="00192242">
        <w:rPr>
          <w:rFonts w:ascii="Arial" w:hAnsi="Arial" w:cs="Arial"/>
          <w:sz w:val="20"/>
          <w:szCs w:val="20"/>
        </w:rPr>
        <w:t>uvimos</w:t>
      </w:r>
      <w:r>
        <w:rPr>
          <w:rFonts w:ascii="Arial" w:hAnsi="Arial" w:cs="Arial"/>
          <w:sz w:val="20"/>
          <w:szCs w:val="20"/>
        </w:rPr>
        <w:t xml:space="preserve"> como objetivo lograr ofrecer a los vecinos los planos validados por parte de la Municipalidad que servirían para varios servicios de base o servicios bási</w:t>
      </w:r>
      <w:r w:rsidR="00192242">
        <w:rPr>
          <w:rFonts w:ascii="Arial" w:hAnsi="Arial" w:cs="Arial"/>
          <w:sz w:val="20"/>
          <w:szCs w:val="20"/>
        </w:rPr>
        <w:t>cos (electricidad, agua, desagüe</w:t>
      </w:r>
      <w:r>
        <w:rPr>
          <w:rFonts w:ascii="Arial" w:hAnsi="Arial" w:cs="Arial"/>
          <w:sz w:val="20"/>
          <w:szCs w:val="20"/>
        </w:rPr>
        <w:t xml:space="preserve">, telefonía, </w:t>
      </w:r>
      <w:r w:rsidR="00192242">
        <w:rPr>
          <w:rFonts w:ascii="Arial" w:hAnsi="Arial" w:cs="Arial"/>
          <w:sz w:val="20"/>
          <w:szCs w:val="20"/>
        </w:rPr>
        <w:t>i</w:t>
      </w:r>
      <w:r>
        <w:rPr>
          <w:rFonts w:ascii="Arial" w:hAnsi="Arial" w:cs="Arial"/>
          <w:sz w:val="20"/>
          <w:szCs w:val="20"/>
        </w:rPr>
        <w:t xml:space="preserve">nternet, cable) tanto para pedir nuevas instalaciones </w:t>
      </w:r>
      <w:r w:rsidR="00192242">
        <w:rPr>
          <w:rFonts w:ascii="Arial" w:hAnsi="Arial" w:cs="Arial"/>
          <w:sz w:val="20"/>
          <w:szCs w:val="20"/>
        </w:rPr>
        <w:t>como</w:t>
      </w:r>
      <w:r>
        <w:rPr>
          <w:rFonts w:ascii="Arial" w:hAnsi="Arial" w:cs="Arial"/>
          <w:sz w:val="20"/>
          <w:szCs w:val="20"/>
        </w:rPr>
        <w:t xml:space="preserve"> para pedir el respeto de las normas para antiguas instalaciones (ver anexo 2).</w:t>
      </w:r>
      <w:r w:rsidR="004853B5">
        <w:rPr>
          <w:rFonts w:ascii="Arial" w:hAnsi="Arial" w:cs="Arial"/>
          <w:sz w:val="20"/>
          <w:szCs w:val="20"/>
        </w:rPr>
        <w:br/>
      </w:r>
      <w:r w:rsidR="004853B5">
        <w:rPr>
          <w:rFonts w:ascii="Arial" w:hAnsi="Arial" w:cs="Arial"/>
          <w:sz w:val="20"/>
          <w:szCs w:val="20"/>
        </w:rPr>
        <w:br/>
      </w:r>
      <w:r w:rsidR="004853B5">
        <w:rPr>
          <w:noProof/>
          <w:lang w:eastAsia="es-GT"/>
        </w:rPr>
        <w:lastRenderedPageBreak/>
        <w:drawing>
          <wp:inline distT="0" distB="0" distL="0" distR="0" wp14:anchorId="70232822" wp14:editId="3ED1B90A">
            <wp:extent cx="4572000" cy="2571750"/>
            <wp:effectExtent l="0" t="0" r="0" b="0"/>
            <wp:docPr id="5" name="Imagen 5" descr="http://efscb.waegemans.com/verde/img/plantas_low/DSC_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fscb.waegemans.com/verde/img/plantas_low/DSC_00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r w:rsidR="004853B5">
        <w:rPr>
          <w:rFonts w:ascii="Arial" w:hAnsi="Arial" w:cs="Arial"/>
          <w:sz w:val="20"/>
          <w:szCs w:val="20"/>
        </w:rPr>
        <w:br/>
      </w:r>
      <w:r w:rsidR="004853B5">
        <w:rPr>
          <w:noProof/>
          <w:lang w:eastAsia="es-GT"/>
        </w:rPr>
        <w:drawing>
          <wp:inline distT="0" distB="0" distL="0" distR="0" wp14:anchorId="2AA95A62" wp14:editId="7C8C88C9">
            <wp:extent cx="4572000" cy="2571750"/>
            <wp:effectExtent l="0" t="0" r="0" b="0"/>
            <wp:docPr id="6" name="Imagen 6" descr="http://efscb.waegemans.com/verde/img/plantas_low/DSC_0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fscb.waegemans.com/verde/img/plantas_low/DSC_01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3A9878C3" w14:textId="7B7216CA" w:rsidR="002C1A3D" w:rsidRDefault="002C1A3D" w:rsidP="0034743A">
      <w:pPr>
        <w:autoSpaceDE w:val="0"/>
        <w:autoSpaceDN w:val="0"/>
        <w:adjustRightInd w:val="0"/>
        <w:rPr>
          <w:rFonts w:ascii="Arial" w:hAnsi="Arial" w:cs="Arial"/>
          <w:sz w:val="20"/>
          <w:szCs w:val="20"/>
        </w:rPr>
      </w:pPr>
      <w:r>
        <w:rPr>
          <w:noProof/>
          <w:lang w:eastAsia="es-GT"/>
        </w:rPr>
        <w:drawing>
          <wp:inline distT="0" distB="0" distL="0" distR="0" wp14:anchorId="20C7AFAD" wp14:editId="2ECFF837">
            <wp:extent cx="4572000" cy="2571750"/>
            <wp:effectExtent l="0" t="0" r="0" b="0"/>
            <wp:docPr id="7" name="Imagen 7" descr="http://efscb.waegemans.com/verde/img/plantas_low/DSC_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fscb.waegemans.com/verde/img/plantas_low/DSC_019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62E14827" w14:textId="5119DFC6" w:rsidR="002C1A3D" w:rsidRDefault="002C1A3D" w:rsidP="0034743A">
      <w:pPr>
        <w:autoSpaceDE w:val="0"/>
        <w:autoSpaceDN w:val="0"/>
        <w:adjustRightInd w:val="0"/>
        <w:rPr>
          <w:rFonts w:ascii="Arial" w:hAnsi="Arial" w:cs="Arial"/>
          <w:sz w:val="20"/>
          <w:szCs w:val="20"/>
        </w:rPr>
      </w:pPr>
      <w:r>
        <w:rPr>
          <w:noProof/>
          <w:lang w:eastAsia="es-GT"/>
        </w:rPr>
        <w:lastRenderedPageBreak/>
        <w:drawing>
          <wp:inline distT="0" distB="0" distL="0" distR="0" wp14:anchorId="01A5C5FC" wp14:editId="00CCEFD8">
            <wp:extent cx="4572000" cy="2571750"/>
            <wp:effectExtent l="0" t="0" r="0" b="0"/>
            <wp:docPr id="8" name="Imagen 8" descr="http://efscb.waegemans.com/verde/img/plantas_low/DSC_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fscb.waegemans.com/verde/img/plantas_low/DSC_006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2571750"/>
                    </a:xfrm>
                    <a:prstGeom prst="rect">
                      <a:avLst/>
                    </a:prstGeom>
                    <a:noFill/>
                    <a:ln>
                      <a:noFill/>
                    </a:ln>
                  </pic:spPr>
                </pic:pic>
              </a:graphicData>
            </a:graphic>
          </wp:inline>
        </w:drawing>
      </w:r>
    </w:p>
    <w:p w14:paraId="2E189793" w14:textId="26CEE1C9" w:rsidR="0034743A" w:rsidRDefault="0034743A" w:rsidP="0034743A">
      <w:pPr>
        <w:autoSpaceDE w:val="0"/>
        <w:autoSpaceDN w:val="0"/>
        <w:adjustRightInd w:val="0"/>
        <w:rPr>
          <w:rFonts w:ascii="Arial" w:hAnsi="Arial" w:cs="Arial"/>
          <w:sz w:val="20"/>
          <w:szCs w:val="20"/>
        </w:rPr>
      </w:pPr>
      <w:r>
        <w:rPr>
          <w:rFonts w:ascii="Arial" w:hAnsi="Arial" w:cs="Arial"/>
          <w:sz w:val="20"/>
          <w:szCs w:val="20"/>
        </w:rPr>
        <w:br/>
      </w:r>
      <w:r>
        <w:rPr>
          <w:rFonts w:ascii="Arial" w:hAnsi="Arial" w:cs="Arial"/>
          <w:sz w:val="20"/>
          <w:szCs w:val="20"/>
        </w:rPr>
        <w:br/>
      </w:r>
      <w:r w:rsidR="00597305">
        <w:rPr>
          <w:rFonts w:ascii="Arial" w:hAnsi="Arial" w:cs="Arial"/>
          <w:sz w:val="20"/>
          <w:szCs w:val="20"/>
        </w:rPr>
        <w:t xml:space="preserve">Entendemos por servicios básicos lo mismo que cualquiera entendería, tal como </w:t>
      </w:r>
      <w:r>
        <w:rPr>
          <w:rFonts w:ascii="Arial" w:hAnsi="Arial" w:cs="Arial"/>
          <w:sz w:val="20"/>
          <w:szCs w:val="20"/>
        </w:rPr>
        <w:t>se encuentra en Wikipedia, por ejemplo :</w:t>
      </w:r>
      <w:r>
        <w:rPr>
          <w:rFonts w:ascii="Arial" w:hAnsi="Arial" w:cs="Arial"/>
          <w:sz w:val="20"/>
          <w:szCs w:val="20"/>
        </w:rPr>
        <w:br/>
        <w:t>(</w:t>
      </w:r>
      <w:hyperlink r:id="rId12" w:history="1">
        <w:r>
          <w:rPr>
            <w:rStyle w:val="Hipervnculo"/>
            <w:rFonts w:ascii="Arial" w:hAnsi="Arial" w:cs="Arial"/>
            <w:sz w:val="20"/>
            <w:szCs w:val="20"/>
          </w:rPr>
          <w:t>https://es.wikipedia.org/wiki/Servicio_b%C3%A1sico</w:t>
        </w:r>
      </w:hyperlink>
      <w:r>
        <w:rPr>
          <w:rFonts w:ascii="Arial" w:hAnsi="Arial" w:cs="Arial"/>
          <w:sz w:val="20"/>
          <w:szCs w:val="20"/>
        </w:rPr>
        <w:t>)</w:t>
      </w:r>
    </w:p>
    <w:p w14:paraId="007BA145"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sz w:val="20"/>
          <w:szCs w:val="20"/>
        </w:rPr>
        <w:t>“</w:t>
      </w:r>
      <w:r>
        <w:rPr>
          <w:rFonts w:ascii="Arial" w:hAnsi="Arial" w:cs="Arial"/>
          <w:i/>
          <w:sz w:val="20"/>
          <w:szCs w:val="20"/>
        </w:rPr>
        <w:t>Los servicios, en un centro poblado, barrio o ciudad son las obras de infraestructuras necesarias para una vida saludable.</w:t>
      </w:r>
    </w:p>
    <w:p w14:paraId="21E696C1"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Entre otros son reconocidos como servicios básicos:</w:t>
      </w:r>
    </w:p>
    <w:p w14:paraId="263236EB"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sistema de abastecimiento de agua potable</w:t>
      </w:r>
    </w:p>
    <w:p w14:paraId="6F719B50"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sistema de alcantarillado de aguas servidas</w:t>
      </w:r>
    </w:p>
    <w:p w14:paraId="74604E9F"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sistema de desagüe de aguas pluviales, también conocido como sistema de drenaje de aguas pluviales</w:t>
      </w:r>
    </w:p>
    <w:p w14:paraId="2DB52A6A"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sistema de vías</w:t>
      </w:r>
    </w:p>
    <w:p w14:paraId="1A28F9B4"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sistema de alumbrado público</w:t>
      </w:r>
    </w:p>
    <w:p w14:paraId="31003606"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La red de distribución de energía eléctrica</w:t>
      </w:r>
    </w:p>
    <w:p w14:paraId="70255087"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servicio de recolección de residuos sólidos</w:t>
      </w:r>
    </w:p>
    <w:p w14:paraId="628F4EC4"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servicio de Gas</w:t>
      </w:r>
    </w:p>
    <w:p w14:paraId="2ECD9BA2"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servicio de la seguridad pública</w:t>
      </w:r>
    </w:p>
    <w:p w14:paraId="20D854F2"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Servicio de asistencia médica</w:t>
      </w:r>
    </w:p>
    <w:p w14:paraId="263F7925"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Establecimientos educativos</w:t>
      </w:r>
    </w:p>
    <w:p w14:paraId="6C1740E1" w14:textId="77777777" w:rsidR="0034743A" w:rsidRDefault="0034743A" w:rsidP="0034743A">
      <w:pPr>
        <w:autoSpaceDE w:val="0"/>
        <w:autoSpaceDN w:val="0"/>
        <w:adjustRightInd w:val="0"/>
        <w:ind w:left="708"/>
        <w:rPr>
          <w:rFonts w:ascii="Arial" w:hAnsi="Arial" w:cs="Arial"/>
          <w:i/>
          <w:sz w:val="20"/>
          <w:szCs w:val="20"/>
        </w:rPr>
      </w:pPr>
      <w:r>
        <w:rPr>
          <w:rFonts w:ascii="Arial" w:hAnsi="Arial" w:cs="Arial"/>
          <w:i/>
          <w:sz w:val="20"/>
          <w:szCs w:val="20"/>
        </w:rPr>
        <w:t xml:space="preserve">    El servicio de transporte</w:t>
      </w:r>
    </w:p>
    <w:p w14:paraId="5320D9AB" w14:textId="77777777" w:rsidR="0034743A" w:rsidRDefault="0034743A" w:rsidP="0034743A">
      <w:pPr>
        <w:autoSpaceDE w:val="0"/>
        <w:autoSpaceDN w:val="0"/>
        <w:adjustRightInd w:val="0"/>
        <w:ind w:left="708"/>
        <w:rPr>
          <w:rFonts w:ascii="Arial" w:hAnsi="Arial" w:cs="Arial"/>
          <w:sz w:val="20"/>
          <w:szCs w:val="20"/>
        </w:rPr>
      </w:pPr>
      <w:r>
        <w:rPr>
          <w:rFonts w:ascii="Arial" w:hAnsi="Arial" w:cs="Arial"/>
          <w:i/>
          <w:sz w:val="20"/>
          <w:szCs w:val="20"/>
        </w:rPr>
        <w:t xml:space="preserve">    El sistema de abastos</w:t>
      </w:r>
      <w:r>
        <w:rPr>
          <w:rFonts w:ascii="Arial" w:hAnsi="Arial" w:cs="Arial"/>
          <w:sz w:val="20"/>
          <w:szCs w:val="20"/>
        </w:rPr>
        <w:t>”</w:t>
      </w:r>
      <w:r>
        <w:rPr>
          <w:rFonts w:ascii="Arial" w:hAnsi="Arial" w:cs="Arial"/>
          <w:sz w:val="20"/>
          <w:szCs w:val="20"/>
        </w:rPr>
        <w:br/>
      </w:r>
    </w:p>
    <w:p w14:paraId="2E4B5E8C" w14:textId="77777777" w:rsidR="0034743A" w:rsidRDefault="0034743A" w:rsidP="0034743A">
      <w:pPr>
        <w:autoSpaceDE w:val="0"/>
        <w:autoSpaceDN w:val="0"/>
        <w:adjustRightInd w:val="0"/>
        <w:rPr>
          <w:rFonts w:ascii="Arial" w:hAnsi="Arial" w:cs="Arial"/>
          <w:sz w:val="20"/>
          <w:szCs w:val="20"/>
        </w:rPr>
      </w:pPr>
      <w:r>
        <w:rPr>
          <w:rFonts w:ascii="Arial" w:hAnsi="Arial" w:cs="Arial"/>
          <w:sz w:val="20"/>
          <w:szCs w:val="20"/>
        </w:rPr>
        <w:t>O</w:t>
      </w:r>
      <w:r w:rsidR="00597305">
        <w:rPr>
          <w:rFonts w:ascii="Arial" w:hAnsi="Arial" w:cs="Arial"/>
          <w:sz w:val="20"/>
          <w:szCs w:val="20"/>
        </w:rPr>
        <w:t>,</w:t>
      </w:r>
      <w:r>
        <w:rPr>
          <w:rFonts w:ascii="Arial" w:hAnsi="Arial" w:cs="Arial"/>
          <w:sz w:val="20"/>
          <w:szCs w:val="20"/>
        </w:rPr>
        <w:t xml:space="preserve"> de manera más normati</w:t>
      </w:r>
      <w:r w:rsidR="00597305">
        <w:rPr>
          <w:rFonts w:ascii="Arial" w:hAnsi="Arial" w:cs="Arial"/>
          <w:sz w:val="20"/>
          <w:szCs w:val="20"/>
        </w:rPr>
        <w:t>va, lo que, según el MEF</w:t>
      </w:r>
      <w:r>
        <w:rPr>
          <w:rFonts w:ascii="Arial" w:hAnsi="Arial" w:cs="Arial"/>
          <w:sz w:val="20"/>
          <w:szCs w:val="20"/>
        </w:rPr>
        <w:t xml:space="preserve"> (Ministerio de Economía y Finanzas del Perú), es su “PLAN CONTABLE GENERAL PARA EMPRESAS”, se sub categoriza de la siguiente manera</w:t>
      </w:r>
      <w:r>
        <w:rPr>
          <w:rFonts w:ascii="Arial" w:hAnsi="Arial" w:cs="Arial"/>
          <w:sz w:val="20"/>
          <w:szCs w:val="20"/>
        </w:rPr>
        <w:br/>
        <w:t>(</w:t>
      </w:r>
      <w:hyperlink r:id="rId13" w:history="1">
        <w:r>
          <w:rPr>
            <w:rStyle w:val="Hipervnculo"/>
            <w:rFonts w:ascii="Arial" w:hAnsi="Arial" w:cs="Arial"/>
            <w:sz w:val="20"/>
            <w:szCs w:val="20"/>
          </w:rPr>
          <w:t>https://www.mef.gob.pe/contenidos/conta_publ/documentac/PCGE_Final111008.pdf</w:t>
        </w:r>
      </w:hyperlink>
      <w:r>
        <w:rPr>
          <w:rFonts w:ascii="Arial" w:hAnsi="Arial" w:cs="Arial"/>
          <w:sz w:val="20"/>
          <w:szCs w:val="20"/>
        </w:rPr>
        <w:t>)</w:t>
      </w:r>
    </w:p>
    <w:p w14:paraId="1C76EA24" w14:textId="77777777" w:rsidR="0034743A" w:rsidRDefault="0034743A" w:rsidP="0034743A">
      <w:pPr>
        <w:autoSpaceDE w:val="0"/>
        <w:autoSpaceDN w:val="0"/>
        <w:adjustRightInd w:val="0"/>
        <w:ind w:left="708"/>
        <w:rPr>
          <w:rFonts w:ascii="Arial" w:hAnsi="Arial" w:cs="Arial"/>
          <w:i/>
        </w:rPr>
      </w:pPr>
      <w:r>
        <w:rPr>
          <w:rFonts w:ascii="Arial" w:hAnsi="Arial" w:cs="Arial"/>
          <w:sz w:val="20"/>
          <w:szCs w:val="20"/>
        </w:rPr>
        <w:br/>
        <w:t>“</w:t>
      </w:r>
      <w:r>
        <w:rPr>
          <w:rFonts w:ascii="Arial" w:hAnsi="Arial" w:cs="Arial"/>
          <w:i/>
        </w:rPr>
        <w:t>636 Servicios básicos</w:t>
      </w:r>
    </w:p>
    <w:p w14:paraId="19013348" w14:textId="77777777" w:rsidR="0034743A" w:rsidRDefault="0034743A" w:rsidP="0034743A">
      <w:pPr>
        <w:autoSpaceDE w:val="0"/>
        <w:autoSpaceDN w:val="0"/>
        <w:adjustRightInd w:val="0"/>
        <w:ind w:left="708"/>
        <w:rPr>
          <w:rFonts w:ascii="Arial" w:hAnsi="Arial" w:cs="Arial"/>
          <w:i/>
        </w:rPr>
      </w:pPr>
      <w:r>
        <w:rPr>
          <w:rFonts w:ascii="Arial" w:hAnsi="Arial" w:cs="Arial"/>
          <w:i/>
        </w:rPr>
        <w:t xml:space="preserve">6361 Energía eléctrica </w:t>
      </w:r>
    </w:p>
    <w:p w14:paraId="5E192094" w14:textId="77777777" w:rsidR="0034743A" w:rsidRDefault="0034743A" w:rsidP="0034743A">
      <w:pPr>
        <w:autoSpaceDE w:val="0"/>
        <w:autoSpaceDN w:val="0"/>
        <w:adjustRightInd w:val="0"/>
        <w:ind w:left="708"/>
        <w:rPr>
          <w:rFonts w:ascii="Arial" w:hAnsi="Arial" w:cs="Arial"/>
          <w:i/>
        </w:rPr>
      </w:pPr>
      <w:r>
        <w:rPr>
          <w:rFonts w:ascii="Arial" w:hAnsi="Arial" w:cs="Arial"/>
          <w:i/>
        </w:rPr>
        <w:t>6362 Gas</w:t>
      </w:r>
    </w:p>
    <w:p w14:paraId="0503BC4A" w14:textId="77777777" w:rsidR="0034743A" w:rsidRDefault="0034743A" w:rsidP="0034743A">
      <w:pPr>
        <w:autoSpaceDE w:val="0"/>
        <w:autoSpaceDN w:val="0"/>
        <w:adjustRightInd w:val="0"/>
        <w:ind w:left="708"/>
        <w:rPr>
          <w:rFonts w:ascii="Arial" w:hAnsi="Arial" w:cs="Arial"/>
          <w:i/>
        </w:rPr>
      </w:pPr>
      <w:r>
        <w:rPr>
          <w:rFonts w:ascii="Arial" w:hAnsi="Arial" w:cs="Arial"/>
          <w:i/>
        </w:rPr>
        <w:t>6363 Agua</w:t>
      </w:r>
    </w:p>
    <w:p w14:paraId="7B5B1348" w14:textId="77777777" w:rsidR="0034743A" w:rsidRDefault="0034743A" w:rsidP="0034743A">
      <w:pPr>
        <w:autoSpaceDE w:val="0"/>
        <w:autoSpaceDN w:val="0"/>
        <w:adjustRightInd w:val="0"/>
        <w:ind w:left="708"/>
        <w:rPr>
          <w:rFonts w:ascii="Arial" w:hAnsi="Arial" w:cs="Arial"/>
          <w:i/>
        </w:rPr>
      </w:pPr>
      <w:r>
        <w:rPr>
          <w:rFonts w:ascii="Arial" w:hAnsi="Arial" w:cs="Arial"/>
          <w:i/>
        </w:rPr>
        <w:t>6364 Teléfono</w:t>
      </w:r>
    </w:p>
    <w:p w14:paraId="6FFFBE65" w14:textId="77777777" w:rsidR="0034743A" w:rsidRDefault="0034743A" w:rsidP="0034743A">
      <w:pPr>
        <w:autoSpaceDE w:val="0"/>
        <w:autoSpaceDN w:val="0"/>
        <w:adjustRightInd w:val="0"/>
        <w:ind w:left="708"/>
        <w:rPr>
          <w:rFonts w:ascii="Arial" w:hAnsi="Arial" w:cs="Arial"/>
          <w:i/>
        </w:rPr>
      </w:pPr>
      <w:r>
        <w:rPr>
          <w:rFonts w:ascii="Arial" w:hAnsi="Arial" w:cs="Arial"/>
          <w:i/>
        </w:rPr>
        <w:t>6365 Internet</w:t>
      </w:r>
    </w:p>
    <w:p w14:paraId="413811AB" w14:textId="77777777" w:rsidR="0034743A" w:rsidRDefault="0034743A" w:rsidP="0034743A">
      <w:pPr>
        <w:autoSpaceDE w:val="0"/>
        <w:autoSpaceDN w:val="0"/>
        <w:adjustRightInd w:val="0"/>
        <w:ind w:left="708"/>
        <w:rPr>
          <w:rFonts w:ascii="Arial" w:hAnsi="Arial" w:cs="Arial"/>
          <w:i/>
        </w:rPr>
      </w:pPr>
      <w:r>
        <w:rPr>
          <w:rFonts w:ascii="Arial" w:hAnsi="Arial" w:cs="Arial"/>
          <w:i/>
        </w:rPr>
        <w:t>6366 Radio</w:t>
      </w:r>
    </w:p>
    <w:p w14:paraId="1F0A9308" w14:textId="77777777" w:rsidR="0034743A" w:rsidRDefault="0034743A" w:rsidP="0034743A">
      <w:pPr>
        <w:ind w:left="708"/>
      </w:pPr>
      <w:r>
        <w:rPr>
          <w:rFonts w:ascii="Arial" w:hAnsi="Arial" w:cs="Arial"/>
          <w:i/>
        </w:rPr>
        <w:t>6367 Cable</w:t>
      </w:r>
      <w:r>
        <w:rPr>
          <w:rFonts w:ascii="Arial" w:hAnsi="Arial" w:cs="Arial"/>
          <w:sz w:val="20"/>
          <w:szCs w:val="20"/>
        </w:rPr>
        <w:t>”</w:t>
      </w:r>
      <w:r>
        <w:br/>
      </w:r>
    </w:p>
    <w:p w14:paraId="73B75F70" w14:textId="77777777" w:rsidR="00192242" w:rsidRDefault="0034743A" w:rsidP="0034743A">
      <w:r>
        <w:lastRenderedPageBreak/>
        <w:t xml:space="preserve">* </w:t>
      </w:r>
      <w:r w:rsidR="00597305">
        <w:t xml:space="preserve">Por otro lado, tuvimos una reunión </w:t>
      </w:r>
      <w:r>
        <w:t xml:space="preserve">con la </w:t>
      </w:r>
      <w:commentRangeStart w:id="1"/>
      <w:r>
        <w:t xml:space="preserve">Sub-Gerente </w:t>
      </w:r>
      <w:r w:rsidR="00597305">
        <w:t xml:space="preserve">de Obras Privadas en su oficina </w:t>
      </w:r>
      <w:r>
        <w:t>y con la participación de la Gerente</w:t>
      </w:r>
      <w:commentRangeEnd w:id="1"/>
      <w:r w:rsidR="00597305">
        <w:rPr>
          <w:rStyle w:val="Refdecomentario"/>
        </w:rPr>
        <w:commentReference w:id="1"/>
      </w:r>
      <w:r w:rsidR="00597305">
        <w:t xml:space="preserve">. Se nos sugirió </w:t>
      </w:r>
      <w:r>
        <w:t xml:space="preserve">pedir </w:t>
      </w:r>
      <w:r w:rsidRPr="00597305">
        <w:rPr>
          <w:b/>
        </w:rPr>
        <w:t>la validación de planos</w:t>
      </w:r>
      <w:r>
        <w:t xml:space="preserve"> no solamente par</w:t>
      </w:r>
      <w:r w:rsidR="00192242">
        <w:t xml:space="preserve">a temas de servicios eléctricos, sino </w:t>
      </w:r>
      <w:r>
        <w:t>más bien para otros servicios de base (agua y desagüe por ejemplo).</w:t>
      </w:r>
      <w:r>
        <w:br/>
        <w:t>A raíz de esta reunión, enviamos una carta pidiendo la validación de planos para servicios básicos.</w:t>
      </w:r>
      <w:r>
        <w:br/>
      </w:r>
      <w:r>
        <w:br/>
        <w:t>* Ahora, al querer la validación de planos que servirían para poder acercarnos, hoy o en el futuro, a todas las empresas de servicios de base (Luz del Sur, Sedapal, Telefónica, Claro, Bitel, Entel, Cálidda, …), no tenemos la certeza de saber bajo qu</w:t>
      </w:r>
      <w:r w:rsidR="00192242">
        <w:t>é</w:t>
      </w:r>
      <w:r>
        <w:t xml:space="preserve"> título o bajo qu</w:t>
      </w:r>
      <w:r w:rsidR="00192242">
        <w:t>é</w:t>
      </w:r>
      <w:r>
        <w:t xml:space="preserve"> encabezado lo debemos pedir. </w:t>
      </w:r>
      <w:r w:rsidR="00192242">
        <w:t>Les solicitamos que nos indiquen con precisión bajo qué denominación debemos gestionar la validación de nuestros planos</w:t>
      </w:r>
      <w:r w:rsidR="00597305">
        <w:t xml:space="preserve"> para pedir, posteriormente y a quien corresponda, los servicios básicos</w:t>
      </w:r>
      <w:r w:rsidR="00192242">
        <w:t>. No pedimos que nos indiquen lo que no corresponde, sino más bien lo que sí corresponde.</w:t>
      </w:r>
    </w:p>
    <w:p w14:paraId="5277ED50" w14:textId="77777777" w:rsidR="00FF243E" w:rsidRDefault="0034743A" w:rsidP="0034743A">
      <w:r>
        <w:br/>
        <w:t>* Al tratar de informarnos de los tr</w:t>
      </w:r>
      <w:r w:rsidR="00192242">
        <w:t>á</w:t>
      </w:r>
      <w:r>
        <w:t>mites disponibles, encontramos en la web de</w:t>
      </w:r>
      <w:r w:rsidR="00192242">
        <w:t>l</w:t>
      </w:r>
      <w:r>
        <w:t xml:space="preserve"> Municipio la siguiente dirección: </w:t>
      </w:r>
      <w:hyperlink r:id="rId16" w:history="1">
        <w:r w:rsidRPr="00886865">
          <w:rPr>
            <w:rStyle w:val="Hipervnculo"/>
          </w:rPr>
          <w:t>http://www.munipachacamac.gob.pe/tramites/catastro/</w:t>
        </w:r>
      </w:hyperlink>
      <w:r>
        <w:t xml:space="preserve"> (ver anexo 3) donde se puede encontrar publicados </w:t>
      </w:r>
      <w:r w:rsidR="00192242">
        <w:t>dos</w:t>
      </w:r>
      <w:r>
        <w:t xml:space="preserve"> tipos de tr</w:t>
      </w:r>
      <w:r w:rsidR="00192242">
        <w:t>á</w:t>
      </w:r>
      <w:r>
        <w:t>mites :</w:t>
      </w:r>
      <w:r>
        <w:br/>
      </w:r>
      <w:r>
        <w:rPr>
          <w:rStyle w:val="estilo35"/>
        </w:rPr>
        <w:t>“ Visación de planos para servicios básicos”</w:t>
      </w:r>
      <w:r>
        <w:t xml:space="preserve"> (</w:t>
      </w:r>
      <w:r w:rsidRPr="0034743A">
        <w:t>http://www.munipachacamac.gob.pe/tramites/catastro/visacion.html</w:t>
      </w:r>
      <w:r>
        <w:t>)</w:t>
      </w:r>
      <w:r>
        <w:br/>
        <w:t>“Visación de planos y memoria descriptiva con fines judiciales y notariales” (</w:t>
      </w:r>
      <w:r w:rsidRPr="0034743A">
        <w:t>http://www.munipachacamac.gob.pe/tramites/catastro/v_planos.html</w:t>
      </w:r>
      <w:r w:rsidR="00192242">
        <w:t>)</w:t>
      </w:r>
      <w:r w:rsidR="00192242">
        <w:br/>
        <w:t>Ninguno</w:t>
      </w:r>
      <w:r>
        <w:t xml:space="preserve"> de los dos </w:t>
      </w:r>
      <w:r w:rsidR="00192242">
        <w:t xml:space="preserve">nos correspondería según su última comunicación </w:t>
      </w:r>
      <w:r w:rsidR="00192242" w:rsidRPr="00192242">
        <w:rPr>
          <w:highlight w:val="yellow"/>
        </w:rPr>
        <w:t xml:space="preserve">(citar aquí la </w:t>
      </w:r>
      <w:r w:rsidR="00C97E3D">
        <w:rPr>
          <w:highlight w:val="yellow"/>
        </w:rPr>
        <w:t xml:space="preserve">última </w:t>
      </w:r>
      <w:r w:rsidR="00192242" w:rsidRPr="00192242">
        <w:rPr>
          <w:highlight w:val="yellow"/>
        </w:rPr>
        <w:t>carta</w:t>
      </w:r>
      <w:r w:rsidR="00C97E3D">
        <w:rPr>
          <w:highlight w:val="yellow"/>
        </w:rPr>
        <w:t xml:space="preserve"> que ellos enviaron</w:t>
      </w:r>
      <w:r w:rsidR="00192242" w:rsidRPr="00192242">
        <w:rPr>
          <w:highlight w:val="yellow"/>
        </w:rPr>
        <w:t>)</w:t>
      </w:r>
      <w:r>
        <w:t>.</w:t>
      </w:r>
      <w:r>
        <w:br/>
      </w:r>
      <w:r w:rsidR="00FF243E">
        <w:br/>
      </w:r>
      <w:r w:rsidR="00FF243E">
        <w:rPr>
          <w:noProof/>
          <w:lang w:eastAsia="es-GT"/>
        </w:rPr>
        <w:drawing>
          <wp:inline distT="0" distB="0" distL="0" distR="0" wp14:anchorId="731A071D" wp14:editId="09C4803A">
            <wp:extent cx="4552950" cy="2478364"/>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44501" b="46267"/>
                    <a:stretch/>
                  </pic:blipFill>
                  <pic:spPr bwMode="auto">
                    <a:xfrm>
                      <a:off x="0" y="0"/>
                      <a:ext cx="4575910" cy="2490862"/>
                    </a:xfrm>
                    <a:prstGeom prst="rect">
                      <a:avLst/>
                    </a:prstGeom>
                    <a:ln>
                      <a:noFill/>
                    </a:ln>
                    <a:extLst>
                      <a:ext uri="{53640926-AAD7-44D8-BBD7-CCE9431645EC}">
                        <a14:shadowObscured xmlns:a14="http://schemas.microsoft.com/office/drawing/2010/main"/>
                      </a:ext>
                    </a:extLst>
                  </pic:spPr>
                </pic:pic>
              </a:graphicData>
            </a:graphic>
          </wp:inline>
        </w:drawing>
      </w:r>
      <w:r w:rsidR="00FF243E">
        <w:br/>
      </w:r>
      <w:r>
        <w:br/>
        <w:t xml:space="preserve">* Al reunirnos hace unas semanas con </w:t>
      </w:r>
      <w:commentRangeStart w:id="2"/>
      <w:r>
        <w:t>un técnico de Obras Privadas</w:t>
      </w:r>
      <w:commentRangeEnd w:id="2"/>
      <w:r w:rsidR="00597305">
        <w:rPr>
          <w:rStyle w:val="Refdecomentario"/>
        </w:rPr>
        <w:commentReference w:id="2"/>
      </w:r>
      <w:r>
        <w:t>, hemos brindado varios documentos c</w:t>
      </w:r>
      <w:r w:rsidR="00597305">
        <w:t xml:space="preserve">omo planos o fichas registrales, con  el fin de dar </w:t>
      </w:r>
      <w:r>
        <w:t>más explicaciones a la situación</w:t>
      </w:r>
      <w:r w:rsidR="00597305">
        <w:t xml:space="preserve"> y tratar </w:t>
      </w:r>
      <w:r>
        <w:t>de aclarar los temas de yuxtaposiciones potenciales o de definiciones de linderos.</w:t>
      </w:r>
      <w:r>
        <w:br/>
        <w:t>Las fichas 72084 (todo San Carlos, Manzanas A hasta Z) y 72675 (modificación de las manzanas E, F, G y Z) son las fichas de las manzanas.</w:t>
      </w:r>
      <w:r>
        <w:br/>
      </w:r>
      <w:r w:rsidR="00597305">
        <w:t xml:space="preserve">Hemos solicitado a SUNARP </w:t>
      </w:r>
      <w:r>
        <w:t>c</w:t>
      </w:r>
      <w:r w:rsidR="00597305">
        <w:t xml:space="preserve">opias de los planos de la 72675, tal como estos constan en sus archivos y ya los tenemos. </w:t>
      </w:r>
      <w:r>
        <w:t>Encontrar</w:t>
      </w:r>
      <w:r w:rsidR="00597305">
        <w:t>á</w:t>
      </w:r>
      <w:r>
        <w:t>n copia de ambos planos en anexo</w:t>
      </w:r>
      <w:r w:rsidR="007270AB">
        <w:t xml:space="preserve"> (ver anexo 4)</w:t>
      </w:r>
      <w:r>
        <w:t>.</w:t>
      </w:r>
      <w:r w:rsidR="0038054A">
        <w:br/>
      </w:r>
      <w:r w:rsidR="0038054A">
        <w:lastRenderedPageBreak/>
        <w:br/>
      </w:r>
      <w:r w:rsidR="0038054A">
        <w:rPr>
          <w:noProof/>
          <w:lang w:eastAsia="es-GT"/>
        </w:rPr>
        <w:drawing>
          <wp:inline distT="0" distB="0" distL="0" distR="0" wp14:anchorId="27A9C78A" wp14:editId="11663EBE">
            <wp:extent cx="5612130" cy="40157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scb-planos-72675-despues-1234-pat-a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12130" cy="4015740"/>
                    </a:xfrm>
                    <a:prstGeom prst="rect">
                      <a:avLst/>
                    </a:prstGeom>
                  </pic:spPr>
                </pic:pic>
              </a:graphicData>
            </a:graphic>
          </wp:inline>
        </w:drawing>
      </w:r>
    </w:p>
    <w:p w14:paraId="4054C001" w14:textId="77777777" w:rsidR="00FF243E" w:rsidRDefault="00FF243E" w:rsidP="0034743A"/>
    <w:p w14:paraId="5CD53B1B" w14:textId="302CA72B" w:rsidR="0034743A" w:rsidRDefault="00FF243E" w:rsidP="0034743A">
      <w:r>
        <w:rPr>
          <w:noProof/>
          <w:lang w:eastAsia="es-GT"/>
        </w:rPr>
        <w:drawing>
          <wp:inline distT="0" distB="0" distL="0" distR="0" wp14:anchorId="3C15EEAB" wp14:editId="6CD480A8">
            <wp:extent cx="5612130" cy="366585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fscb-planos-72675-despues-1234-superp-large-a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12130" cy="3665855"/>
                    </a:xfrm>
                    <a:prstGeom prst="rect">
                      <a:avLst/>
                    </a:prstGeom>
                  </pic:spPr>
                </pic:pic>
              </a:graphicData>
            </a:graphic>
          </wp:inline>
        </w:drawing>
      </w:r>
      <w:r w:rsidR="0034743A">
        <w:br/>
      </w:r>
      <w:r w:rsidR="0034743A">
        <w:br/>
      </w:r>
      <w:r w:rsidR="0034743A">
        <w:lastRenderedPageBreak/>
        <w:br/>
      </w:r>
      <w:r w:rsidR="0034743A">
        <w:br/>
      </w:r>
      <w:commentRangeStart w:id="3"/>
      <w:r w:rsidR="0034743A">
        <w:rPr>
          <w:b/>
          <w:i/>
          <w:u w:val="single"/>
        </w:rPr>
        <w:t>- Sobre “… las coordenadas del plano perimétrico, esta NO se ajusta a la base grafica entre otras observaciones, …”</w:t>
      </w:r>
      <w:r w:rsidR="0034743A">
        <w:t xml:space="preserve">  </w:t>
      </w:r>
      <w:commentRangeEnd w:id="3"/>
      <w:r w:rsidR="00A84C6A">
        <w:rPr>
          <w:rStyle w:val="Refdecomentario"/>
        </w:rPr>
        <w:commentReference w:id="3"/>
      </w:r>
    </w:p>
    <w:p w14:paraId="7B49588A" w14:textId="77777777" w:rsidR="0034743A" w:rsidRDefault="0034743A" w:rsidP="0034743A"/>
    <w:p w14:paraId="65643B26" w14:textId="77777777" w:rsidR="003744DB" w:rsidRDefault="0034743A" w:rsidP="0034743A">
      <w:r>
        <w:t xml:space="preserve">- </w:t>
      </w:r>
      <w:r w:rsidR="003744DB">
        <w:t xml:space="preserve">Cunado ustedes se refieren a </w:t>
      </w:r>
      <w:r>
        <w:t>“la base grafica”</w:t>
      </w:r>
      <w:r w:rsidR="003744DB">
        <w:t>,</w:t>
      </w:r>
      <w:r>
        <w:t xml:space="preserve"> </w:t>
      </w:r>
      <w:r w:rsidR="003744DB">
        <w:t>¿</w:t>
      </w:r>
      <w:r>
        <w:t>se refieren a la Base Gráfica Registral de la Sunarp (tal que se puede entender leyendo “https://www.sunarp.gob.pe/PRENSA/inicio/post/2018/09/10/sunarp-optimiza-acceso-de-usuarios-a-su-base-grafica-registral ”) o se refiere</w:t>
      </w:r>
      <w:r w:rsidR="003744DB">
        <w:t>n</w:t>
      </w:r>
      <w:r>
        <w:t xml:space="preserve"> a otro tipo de base gráfica ? </w:t>
      </w:r>
    </w:p>
    <w:p w14:paraId="078337A4" w14:textId="77777777" w:rsidR="003744DB" w:rsidRDefault="003744DB" w:rsidP="0034743A">
      <w:r>
        <w:t>Y</w:t>
      </w:r>
      <w:r w:rsidR="0034743A">
        <w:t xml:space="preserve"> si se trata de otra base, </w:t>
      </w:r>
      <w:r>
        <w:t>¿</w:t>
      </w:r>
      <w:r w:rsidR="0034743A">
        <w:t>cu</w:t>
      </w:r>
      <w:r>
        <w:t>á</w:t>
      </w:r>
      <w:r w:rsidR="0034743A">
        <w:t>l es, c</w:t>
      </w:r>
      <w:r>
        <w:t>ó</w:t>
      </w:r>
      <w:r w:rsidR="0034743A">
        <w:t>mo podríamos tener acceso?</w:t>
      </w:r>
      <w:r w:rsidR="0009786A">
        <w:t xml:space="preserve"> </w:t>
      </w:r>
    </w:p>
    <w:p w14:paraId="1483AA13" w14:textId="345D9B7D" w:rsidR="00A93D67" w:rsidRDefault="003744DB" w:rsidP="0034743A">
      <w:r>
        <w:t>¿</w:t>
      </w:r>
      <w:r w:rsidR="0009786A">
        <w:t xml:space="preserve">O se trata de </w:t>
      </w:r>
      <w:r w:rsidR="0009786A">
        <w:rPr>
          <w:rStyle w:val="estilo30"/>
        </w:rPr>
        <w:t>coordenadas UTM?</w:t>
      </w:r>
      <w:r w:rsidR="0009786A">
        <w:t xml:space="preserve"> </w:t>
      </w:r>
      <w:r w:rsidR="0034743A">
        <w:br/>
        <w:t xml:space="preserve">Si sus servicios pueden visualizar que algo no se ajuste, </w:t>
      </w:r>
      <w:r>
        <w:t>¿</w:t>
      </w:r>
      <w:r w:rsidR="0034743A">
        <w:t>podrían informar</w:t>
      </w:r>
      <w:r>
        <w:t>nos de dónde o cómo ajustarlos?</w:t>
      </w:r>
      <w:r w:rsidR="00A93D67">
        <w:br/>
        <w:t xml:space="preserve">Probando la primera entrada de los planos con </w:t>
      </w:r>
      <w:hyperlink r:id="rId20" w:history="1">
        <w:r w:rsidR="00A93D67" w:rsidRPr="008A78F9">
          <w:rPr>
            <w:rStyle w:val="Hipervnculo"/>
          </w:rPr>
          <w:t>https://www.geoplaner.com/</w:t>
        </w:r>
      </w:hyperlink>
    </w:p>
    <w:p w14:paraId="77BBC92F" w14:textId="77777777" w:rsidR="00E80DD6" w:rsidRDefault="00A93D67" w:rsidP="0034743A">
      <w:r>
        <w:t>Teniendo referencias sin decimal</w:t>
      </w:r>
      <w:r w:rsidR="00E80DD6">
        <w:t>, en WGS 84,</w:t>
      </w:r>
      <w:r>
        <w:t xml:space="preserve"> x = </w:t>
      </w:r>
      <w:r w:rsidRPr="00A93D67">
        <w:t>298995</w:t>
      </w:r>
      <w:r>
        <w:t xml:space="preserve"> / Y = </w:t>
      </w:r>
      <w:r w:rsidRPr="00A93D67">
        <w:t>8647814</w:t>
      </w:r>
      <w:r>
        <w:br/>
        <w:t>Tenemos como resultado un punto en la mapa que corresponde a la esquina “P1” del lote E-13 de nuestros planos (Obviamente no a los planos Sunarp, fue invadido)</w:t>
      </w:r>
      <w:r>
        <w:br/>
      </w:r>
      <w:r>
        <w:br/>
      </w:r>
      <w:r>
        <w:rPr>
          <w:noProof/>
          <w:lang w:eastAsia="es-GT"/>
        </w:rPr>
        <w:drawing>
          <wp:inline distT="0" distB="0" distL="0" distR="0" wp14:anchorId="54FF5DB9" wp14:editId="16782F2D">
            <wp:extent cx="5612130" cy="31553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155315"/>
                    </a:xfrm>
                    <a:prstGeom prst="rect">
                      <a:avLst/>
                    </a:prstGeom>
                  </pic:spPr>
                </pic:pic>
              </a:graphicData>
            </a:graphic>
          </wp:inline>
        </w:drawing>
      </w:r>
    </w:p>
    <w:p w14:paraId="1BB67E3B" w14:textId="7A22070F" w:rsidR="00A93D67" w:rsidRDefault="00A93D67" w:rsidP="0034743A">
      <w:r>
        <w:br/>
      </w:r>
      <w:r>
        <w:br/>
      </w:r>
      <w:r>
        <w:rPr>
          <w:noProof/>
          <w:lang w:eastAsia="es-GT"/>
        </w:rPr>
        <w:drawing>
          <wp:inline distT="0" distB="0" distL="0" distR="0" wp14:anchorId="0EFBC690" wp14:editId="03F8B81C">
            <wp:extent cx="3486150" cy="1628775"/>
            <wp:effectExtent l="0" t="0" r="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5972" t="34766" r="46709" b="42532"/>
                    <a:stretch/>
                  </pic:blipFill>
                  <pic:spPr bwMode="auto">
                    <a:xfrm>
                      <a:off x="0" y="0"/>
                      <a:ext cx="3492525" cy="1631754"/>
                    </a:xfrm>
                    <a:prstGeom prst="rect">
                      <a:avLst/>
                    </a:prstGeom>
                    <a:ln>
                      <a:noFill/>
                    </a:ln>
                    <a:extLst>
                      <a:ext uri="{53640926-AAD7-44D8-BBD7-CCE9431645EC}">
                        <a14:shadowObscured xmlns:a14="http://schemas.microsoft.com/office/drawing/2010/main"/>
                      </a:ext>
                    </a:extLst>
                  </pic:spPr>
                </pic:pic>
              </a:graphicData>
            </a:graphic>
          </wp:inline>
        </w:drawing>
      </w:r>
    </w:p>
    <w:p w14:paraId="47533E9E" w14:textId="0675B560" w:rsidR="0034743A" w:rsidRDefault="0034743A" w:rsidP="00E80DD6">
      <w:r>
        <w:lastRenderedPageBreak/>
        <w:br/>
        <w:t xml:space="preserve">- En caso que se trata del plano de la ficha 72084 de febrero 1993, que sufrió una alteración por parte de los propietarios legítimos en manzanas E, F, G y Z bajo la ficha </w:t>
      </w:r>
      <w:r w:rsidR="003744DB">
        <w:t>72675 de agosto 1997, encontrará</w:t>
      </w:r>
      <w:r>
        <w:t>n copia de los planos de esta alteración en anexo</w:t>
      </w:r>
      <w:r w:rsidR="007270AB">
        <w:t xml:space="preserve"> (ver anexo 4)</w:t>
      </w:r>
      <w:r w:rsidR="003744DB">
        <w:t>.</w:t>
      </w:r>
      <w:r w:rsidR="003744DB">
        <w:br/>
        <w:t>- “entre otras observaciones”</w:t>
      </w:r>
      <w:r>
        <w:t>: por favor</w:t>
      </w:r>
      <w:r w:rsidR="003744DB">
        <w:t>,</w:t>
      </w:r>
      <w:r>
        <w:t xml:space="preserve"> </w:t>
      </w:r>
      <w:r w:rsidR="003744DB">
        <w:t>comuníquenos</w:t>
      </w:r>
      <w:r>
        <w:t xml:space="preserve"> cu</w:t>
      </w:r>
      <w:r w:rsidR="003744DB">
        <w:t>á</w:t>
      </w:r>
      <w:r>
        <w:t>les son en la brevedad.</w:t>
      </w:r>
      <w:r w:rsidR="0038054A">
        <w:br/>
      </w:r>
      <w:r w:rsidR="0038054A">
        <w:br/>
        <w:t xml:space="preserve">* Con el mismo propósito de poder definir los linderos, teniendo una fuerte inquietud frente al pedido del Municipio de realizar planos “Tal que existe la red Vial en la actualidad”, negando quizás el derecho de propiedad a una cierta cantidad de vecinos de cuáles de sus predios fueron parcialmente o totalmente invadidos, pedimos a la Gerencia de Fiscalización que se acercase. </w:t>
      </w:r>
      <w:r w:rsidR="0038054A">
        <w:br/>
        <w:t xml:space="preserve">La Gerencia de Fiscalización </w:t>
      </w:r>
      <w:commentRangeStart w:id="4"/>
      <w:r w:rsidR="0038054A">
        <w:t xml:space="preserve">hizo una visita ocular de los linderos </w:t>
      </w:r>
      <w:commentRangeEnd w:id="4"/>
      <w:r w:rsidR="0038054A">
        <w:rPr>
          <w:rStyle w:val="Refdecomentario"/>
        </w:rPr>
        <w:commentReference w:id="4"/>
      </w:r>
      <w:r w:rsidR="0038054A">
        <w:t>“físicos”, se entregó una documentación de fichas registrales, se explicó dónde creemos que ocurrieron invasiones y dónde deberían estar los linderos y la red vial.</w:t>
      </w:r>
      <w:r w:rsidR="0038054A">
        <w:br/>
        <w:t>A la fecha, la Sub-gerencia de obras privadas ya debería tener esta información (Memo 251).</w:t>
      </w:r>
      <w:r w:rsidR="0038054A">
        <w:br/>
      </w:r>
      <w:r w:rsidR="0038054A">
        <w:br/>
      </w:r>
      <w:r w:rsidR="0038054A">
        <w:rPr>
          <w:noProof/>
          <w:lang w:eastAsia="es-GT"/>
        </w:rPr>
        <w:drawing>
          <wp:inline distT="0" distB="0" distL="0" distR="0" wp14:anchorId="5E97AC86" wp14:editId="0C1B45CE">
            <wp:extent cx="5612130" cy="4015740"/>
            <wp:effectExtent l="0" t="0" r="762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fscb-planos-72675-despues-1234-superp-a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2130" cy="4015740"/>
                    </a:xfrm>
                    <a:prstGeom prst="rect">
                      <a:avLst/>
                    </a:prstGeom>
                  </pic:spPr>
                </pic:pic>
              </a:graphicData>
            </a:graphic>
          </wp:inline>
        </w:drawing>
      </w:r>
      <w:r>
        <w:br/>
      </w:r>
      <w:r>
        <w:br/>
      </w:r>
      <w:r>
        <w:br/>
        <w:t xml:space="preserve">De lo entendido, tenemos una reunión de trabajo sobre nuestro expediente el martes 11/6 a las </w:t>
      </w:r>
      <w:r w:rsidR="007270AB">
        <w:t>0</w:t>
      </w:r>
      <w:r>
        <w:t>8:</w:t>
      </w:r>
      <w:r w:rsidR="007270AB">
        <w:t xml:space="preserve">00 </w:t>
      </w:r>
      <w:r>
        <w:t xml:space="preserve">am, con </w:t>
      </w:r>
      <w:r w:rsidR="003744DB">
        <w:t>e</w:t>
      </w:r>
      <w:r>
        <w:t>l Ing. Lozano, en Pachacamac, área de desarrollo urbano.</w:t>
      </w:r>
      <w:r>
        <w:br/>
      </w:r>
    </w:p>
    <w:p w14:paraId="3E488217" w14:textId="77777777" w:rsidR="00B71200" w:rsidRDefault="00B71200"/>
    <w:sectPr w:rsidR="00B71200">
      <w:headerReference w:type="default" r:id="rId24"/>
      <w:footerReference w:type="default" r:id="rId25"/>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Eliana Carmen Mory Arciniega" w:date="2019-06-10T11:00:00Z" w:initials="ECM">
    <w:p w14:paraId="38EB0E4B" w14:textId="77777777" w:rsidR="00597305" w:rsidRDefault="00597305">
      <w:pPr>
        <w:pStyle w:val="Textocomentario"/>
      </w:pPr>
      <w:r>
        <w:rPr>
          <w:rStyle w:val="Refdecomentario"/>
        </w:rPr>
        <w:annotationRef/>
      </w:r>
      <w:r>
        <w:t>Si se puede, mencionar los nombres de estas dos personas y la fecha de la reunión.</w:t>
      </w:r>
    </w:p>
  </w:comment>
  <w:comment w:id="2" w:author="Eliana Carmen Mory Arciniega" w:date="2019-06-10T11:00:00Z" w:initials="ECM">
    <w:p w14:paraId="2C901CD4" w14:textId="77777777" w:rsidR="00597305" w:rsidRDefault="00597305">
      <w:pPr>
        <w:pStyle w:val="Textocomentario"/>
      </w:pPr>
      <w:r>
        <w:rPr>
          <w:rStyle w:val="Refdecomentario"/>
        </w:rPr>
        <w:annotationRef/>
      </w:r>
      <w:r>
        <w:t>Mencionar el nombre y la fecha de la reunión</w:t>
      </w:r>
    </w:p>
  </w:comment>
  <w:comment w:id="3" w:author="Eliana Carmen Mory Arciniega" w:date="2019-06-10T11:03:00Z" w:initials="ECM">
    <w:p w14:paraId="4320F845" w14:textId="32FB29DF" w:rsidR="00A84C6A" w:rsidRDefault="00A84C6A">
      <w:pPr>
        <w:pStyle w:val="Textocomentario"/>
      </w:pPr>
      <w:r>
        <w:rPr>
          <w:rStyle w:val="Refdecomentario"/>
        </w:rPr>
        <w:annotationRef/>
      </w:r>
      <w:r>
        <w:t>No aqueda claro si esto es una cita de la última carta que enviaron. Hay que indicarlo.</w:t>
      </w:r>
    </w:p>
  </w:comment>
  <w:comment w:id="4" w:author="Eliana Carmen Mory Arciniega" w:date="2019-06-10T11:02:00Z" w:initials="ECM">
    <w:p w14:paraId="3E7783EC" w14:textId="77777777" w:rsidR="0038054A" w:rsidRDefault="0038054A" w:rsidP="0038054A">
      <w:pPr>
        <w:pStyle w:val="Textocomentario"/>
      </w:pPr>
      <w:r>
        <w:rPr>
          <w:rStyle w:val="Refdecomentario"/>
        </w:rPr>
        <w:annotationRef/>
      </w:r>
      <w:r>
        <w:t>Si se puede, indicar la fecha y quién se acercó.</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EB0E4B" w15:done="0"/>
  <w15:commentEx w15:paraId="2C901CD4" w15:done="0"/>
  <w15:commentEx w15:paraId="4320F845" w15:done="0"/>
  <w15:commentEx w15:paraId="3E7783E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23DEB" w14:textId="77777777" w:rsidR="001D3277" w:rsidRDefault="001D3277" w:rsidP="00E80DD6">
      <w:r>
        <w:separator/>
      </w:r>
    </w:p>
  </w:endnote>
  <w:endnote w:type="continuationSeparator" w:id="0">
    <w:p w14:paraId="6F796809" w14:textId="77777777" w:rsidR="001D3277" w:rsidRDefault="001D3277" w:rsidP="00E80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3041902"/>
      <w:docPartObj>
        <w:docPartGallery w:val="Page Numbers (Bottom of Page)"/>
        <w:docPartUnique/>
      </w:docPartObj>
    </w:sdtPr>
    <w:sdtEndPr/>
    <w:sdtContent>
      <w:p w14:paraId="4495F93A" w14:textId="535C8387" w:rsidR="00E80DD6" w:rsidRDefault="00E80DD6">
        <w:pPr>
          <w:pStyle w:val="Piedepgina"/>
          <w:jc w:val="center"/>
        </w:pPr>
        <w:r>
          <w:fldChar w:fldCharType="begin"/>
        </w:r>
        <w:r>
          <w:instrText>PAGE   \* MERGEFORMAT</w:instrText>
        </w:r>
        <w:r>
          <w:fldChar w:fldCharType="separate"/>
        </w:r>
        <w:r w:rsidR="00927377" w:rsidRPr="00927377">
          <w:rPr>
            <w:noProof/>
            <w:lang w:val="es-ES"/>
          </w:rPr>
          <w:t>1</w:t>
        </w:r>
        <w:r>
          <w:fldChar w:fldCharType="end"/>
        </w:r>
        <w:r>
          <w:t xml:space="preserve"> / </w:t>
        </w:r>
        <w:r w:rsidR="001D3277">
          <w:rPr>
            <w:noProof/>
          </w:rPr>
          <w:fldChar w:fldCharType="begin"/>
        </w:r>
        <w:r w:rsidR="001D3277">
          <w:rPr>
            <w:noProof/>
          </w:rPr>
          <w:instrText xml:space="preserve"> NUMPAGES  \* Arabic  \* MERGEFORMAT </w:instrText>
        </w:r>
        <w:r w:rsidR="001D3277">
          <w:rPr>
            <w:noProof/>
          </w:rPr>
          <w:fldChar w:fldCharType="separate"/>
        </w:r>
        <w:r w:rsidR="00927377">
          <w:rPr>
            <w:noProof/>
          </w:rPr>
          <w:t>7</w:t>
        </w:r>
        <w:r w:rsidR="001D3277">
          <w:rPr>
            <w:noProof/>
          </w:rPr>
          <w:fldChar w:fldCharType="end"/>
        </w:r>
      </w:p>
    </w:sdtContent>
  </w:sdt>
  <w:p w14:paraId="62B851F7" w14:textId="77777777" w:rsidR="00E80DD6" w:rsidRDefault="00E80D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51F6B0" w14:textId="77777777" w:rsidR="001D3277" w:rsidRDefault="001D3277" w:rsidP="00E80DD6">
      <w:r>
        <w:separator/>
      </w:r>
    </w:p>
  </w:footnote>
  <w:footnote w:type="continuationSeparator" w:id="0">
    <w:p w14:paraId="562646FB" w14:textId="77777777" w:rsidR="001D3277" w:rsidRDefault="001D3277" w:rsidP="00E80D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91A3F9" w14:textId="1B647BE6" w:rsidR="00E80DD6" w:rsidRDefault="00E80DD6">
    <w:pPr>
      <w:pStyle w:val="Encabezado"/>
    </w:pPr>
    <w:r>
      <w:t>reunión de trabajo sobre expediente 944-2018, el martes 11/6 a las 08:00 am, con el Ing. Lozano,</w: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liana Carmen Mory Arciniega">
    <w15:presenceInfo w15:providerId="AD" w15:userId="S-1-5-21-4187138751-518883910-437974971-1825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743A"/>
    <w:rsid w:val="0009786A"/>
    <w:rsid w:val="00192242"/>
    <w:rsid w:val="001D3277"/>
    <w:rsid w:val="002C1A3D"/>
    <w:rsid w:val="0034743A"/>
    <w:rsid w:val="003744DB"/>
    <w:rsid w:val="0038054A"/>
    <w:rsid w:val="004853B5"/>
    <w:rsid w:val="00597305"/>
    <w:rsid w:val="007270AB"/>
    <w:rsid w:val="009079FD"/>
    <w:rsid w:val="00927377"/>
    <w:rsid w:val="00A3260B"/>
    <w:rsid w:val="00A84C6A"/>
    <w:rsid w:val="00A93D67"/>
    <w:rsid w:val="00B71200"/>
    <w:rsid w:val="00C97E3D"/>
    <w:rsid w:val="00E80DD6"/>
    <w:rsid w:val="00FF243E"/>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966897"/>
  <w15:chartTrackingRefBased/>
  <w15:docId w15:val="{9B204DDE-9757-4A19-A785-33DD5C6D5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43A"/>
    <w:pPr>
      <w:spacing w:after="0" w:line="240"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743A"/>
    <w:rPr>
      <w:color w:val="0563C1" w:themeColor="hyperlink"/>
      <w:u w:val="single"/>
    </w:rPr>
  </w:style>
  <w:style w:type="character" w:customStyle="1" w:styleId="estilo35">
    <w:name w:val="estilo35"/>
    <w:basedOn w:val="Fuentedeprrafopredeter"/>
    <w:rsid w:val="0034743A"/>
  </w:style>
  <w:style w:type="character" w:customStyle="1" w:styleId="estilo30">
    <w:name w:val="estilo30"/>
    <w:basedOn w:val="Fuentedeprrafopredeter"/>
    <w:rsid w:val="0009786A"/>
  </w:style>
  <w:style w:type="character" w:styleId="Refdecomentario">
    <w:name w:val="annotation reference"/>
    <w:basedOn w:val="Fuentedeprrafopredeter"/>
    <w:uiPriority w:val="99"/>
    <w:semiHidden/>
    <w:unhideWhenUsed/>
    <w:rsid w:val="00597305"/>
    <w:rPr>
      <w:sz w:val="16"/>
      <w:szCs w:val="16"/>
    </w:rPr>
  </w:style>
  <w:style w:type="paragraph" w:styleId="Textocomentario">
    <w:name w:val="annotation text"/>
    <w:basedOn w:val="Normal"/>
    <w:link w:val="TextocomentarioCar"/>
    <w:uiPriority w:val="99"/>
    <w:semiHidden/>
    <w:unhideWhenUsed/>
    <w:rsid w:val="00597305"/>
    <w:rPr>
      <w:sz w:val="20"/>
      <w:szCs w:val="20"/>
    </w:rPr>
  </w:style>
  <w:style w:type="character" w:customStyle="1" w:styleId="TextocomentarioCar">
    <w:name w:val="Texto comentario Car"/>
    <w:basedOn w:val="Fuentedeprrafopredeter"/>
    <w:link w:val="Textocomentario"/>
    <w:uiPriority w:val="99"/>
    <w:semiHidden/>
    <w:rsid w:val="00597305"/>
    <w:rPr>
      <w:sz w:val="20"/>
      <w:szCs w:val="20"/>
    </w:rPr>
  </w:style>
  <w:style w:type="paragraph" w:styleId="Asuntodelcomentario">
    <w:name w:val="annotation subject"/>
    <w:basedOn w:val="Textocomentario"/>
    <w:next w:val="Textocomentario"/>
    <w:link w:val="AsuntodelcomentarioCar"/>
    <w:uiPriority w:val="99"/>
    <w:semiHidden/>
    <w:unhideWhenUsed/>
    <w:rsid w:val="00597305"/>
    <w:rPr>
      <w:b/>
      <w:bCs/>
    </w:rPr>
  </w:style>
  <w:style w:type="character" w:customStyle="1" w:styleId="AsuntodelcomentarioCar">
    <w:name w:val="Asunto del comentario Car"/>
    <w:basedOn w:val="TextocomentarioCar"/>
    <w:link w:val="Asuntodelcomentario"/>
    <w:uiPriority w:val="99"/>
    <w:semiHidden/>
    <w:rsid w:val="00597305"/>
    <w:rPr>
      <w:b/>
      <w:bCs/>
      <w:sz w:val="20"/>
      <w:szCs w:val="20"/>
    </w:rPr>
  </w:style>
  <w:style w:type="paragraph" w:styleId="Textodeglobo">
    <w:name w:val="Balloon Text"/>
    <w:basedOn w:val="Normal"/>
    <w:link w:val="TextodegloboCar"/>
    <w:uiPriority w:val="99"/>
    <w:semiHidden/>
    <w:unhideWhenUsed/>
    <w:rsid w:val="005973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97305"/>
    <w:rPr>
      <w:rFonts w:ascii="Segoe UI" w:hAnsi="Segoe UI" w:cs="Segoe UI"/>
      <w:sz w:val="18"/>
      <w:szCs w:val="18"/>
    </w:rPr>
  </w:style>
  <w:style w:type="paragraph" w:styleId="Encabezado">
    <w:name w:val="header"/>
    <w:basedOn w:val="Normal"/>
    <w:link w:val="EncabezadoCar"/>
    <w:uiPriority w:val="99"/>
    <w:unhideWhenUsed/>
    <w:rsid w:val="00E80DD6"/>
    <w:pPr>
      <w:tabs>
        <w:tab w:val="center" w:pos="4419"/>
        <w:tab w:val="right" w:pos="8838"/>
      </w:tabs>
    </w:pPr>
  </w:style>
  <w:style w:type="character" w:customStyle="1" w:styleId="EncabezadoCar">
    <w:name w:val="Encabezado Car"/>
    <w:basedOn w:val="Fuentedeprrafopredeter"/>
    <w:link w:val="Encabezado"/>
    <w:uiPriority w:val="99"/>
    <w:rsid w:val="00E80DD6"/>
  </w:style>
  <w:style w:type="paragraph" w:styleId="Piedepgina">
    <w:name w:val="footer"/>
    <w:basedOn w:val="Normal"/>
    <w:link w:val="PiedepginaCar"/>
    <w:uiPriority w:val="99"/>
    <w:unhideWhenUsed/>
    <w:rsid w:val="00E80DD6"/>
    <w:pPr>
      <w:tabs>
        <w:tab w:val="center" w:pos="4419"/>
        <w:tab w:val="right" w:pos="8838"/>
      </w:tabs>
    </w:pPr>
  </w:style>
  <w:style w:type="character" w:customStyle="1" w:styleId="PiedepginaCar">
    <w:name w:val="Pie de página Car"/>
    <w:basedOn w:val="Fuentedeprrafopredeter"/>
    <w:link w:val="Piedepgina"/>
    <w:uiPriority w:val="99"/>
    <w:rsid w:val="00E80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60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www.mef.gob.pe/contenidos/conta_publ/documentac/PCGE_Final111008.pdf" TargetMode="External"/><Relationship Id="rId18" Type="http://schemas.openxmlformats.org/officeDocument/2006/relationships/image" Target="media/image8.jp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image" Target="media/image2.png"/><Relationship Id="rId12" Type="http://schemas.openxmlformats.org/officeDocument/2006/relationships/hyperlink" Target="https://es.wikipedia.org/wiki/Servicio_b%C3%A1sico"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www.munipachacamac.gob.pe/tramites/catastro/" TargetMode="External"/><Relationship Id="rId20" Type="http://schemas.openxmlformats.org/officeDocument/2006/relationships/hyperlink" Target="https://www.geoplaner.com/"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eader" Target="header1.xml"/><Relationship Id="rId5" Type="http://schemas.openxmlformats.org/officeDocument/2006/relationships/endnotes" Target="endnotes.xml"/><Relationship Id="rId15" Type="http://schemas.microsoft.com/office/2011/relationships/commentsExtended" Target="commentsExtended.xml"/><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omments" Target="comments.xml"/><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1193</Words>
  <Characters>6567</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plus</dc:creator>
  <cp:keywords/>
  <dc:description/>
  <cp:lastModifiedBy>plus</cp:lastModifiedBy>
  <cp:revision>2</cp:revision>
  <dcterms:created xsi:type="dcterms:W3CDTF">2019-06-11T02:20:00Z</dcterms:created>
  <dcterms:modified xsi:type="dcterms:W3CDTF">2019-06-11T02:20:00Z</dcterms:modified>
</cp:coreProperties>
</file>